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石龙区法院金融审判案件风险隐患排查工作总结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23272B"/>
          <w:sz w:val="32"/>
          <w:szCs w:val="32"/>
          <w:lang w:val="en-US" w:eastAsia="zh-CN"/>
        </w:rPr>
        <w:t>2022年以来，石龙区人民法院按照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贯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委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政府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以及市中院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关于金融风险防范的相关工作要求，进一步做好金融案件风险隐患排查工作，充分发挥人民法院防范化解金融风险的职能作用，切实担负起维护社会大局稳定的重要使命，为有效防范化解金融风险，优化金融生态环境，公正高效审理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金融类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案件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，石龙法院金融审判案件风险隐患排查工作开展情况如下：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5"/>
        <w:textAlignment w:val="auto"/>
        <w:rPr>
          <w:rFonts w:hint="eastAsia" w:ascii="宋体" w:hAnsi="宋体" w:eastAsia="黑体" w:cs="宋体"/>
          <w:color w:val="23272B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color w:val="23272B"/>
          <w:sz w:val="32"/>
          <w:szCs w:val="32"/>
        </w:rPr>
        <w:t>一、</w:t>
      </w:r>
      <w:r>
        <w:rPr>
          <w:rFonts w:hint="eastAsia" w:ascii="黑体" w:hAnsi="黑体" w:eastAsia="黑体" w:cs="宋体"/>
          <w:color w:val="23272B"/>
          <w:sz w:val="32"/>
          <w:szCs w:val="32"/>
          <w:lang w:eastAsia="zh-CN"/>
        </w:rPr>
        <w:t>高度重视，成立专班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5"/>
        <w:textAlignment w:val="auto"/>
        <w:rPr>
          <w:rFonts w:hint="eastAsia" w:ascii="仿宋_GB2312" w:hAnsi="宋体" w:eastAsia="仿宋_GB2312" w:cs="宋体"/>
          <w:color w:val="23272B"/>
          <w:sz w:val="32"/>
          <w:szCs w:val="32"/>
        </w:rPr>
      </w:pP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石龙法院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坚持以习近平新时代中国特色社会主义思想为指导，认真贯彻落实习近平法治思想、习近平总书记关于防范化解金融风险重要讲话精神，全面动员，周密安排部署，狠抓工作落实，夯实主体责任，全力做好金融案件风险隐患排查化解工作，着力营造良好的金融法治环境，为我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金融经济健康良性发展提供坚实有力的司法保障。成立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平顶山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市石龙区人民法院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金融案件风险隐患排查化解工作领导小组。由党组书记、院长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李波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任组长，党组成员、副院长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袁黎晓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，执行局局长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闫鹏飞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任副组长，立案庭、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刑事审判团队、民事审判团队、执行局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为成员单位，领导小组下设办公室，办公室设在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民事速裁审判团队，由民事速裁审判团队负责人梁剑峰兼任办公室主任，书记员杨培改作为联络员，涉及立案、审判、执行部门的内勤作为办公室成员，负责本部门信息数据、材料等相关事宜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5"/>
        <w:textAlignment w:val="auto"/>
        <w:rPr>
          <w:rFonts w:hint="eastAsia" w:ascii="黑体" w:hAnsi="黑体" w:eastAsia="黑体" w:cs="宋体"/>
          <w:color w:val="23272B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23272B"/>
          <w:sz w:val="32"/>
          <w:szCs w:val="32"/>
          <w:lang w:eastAsia="zh-CN"/>
        </w:rPr>
        <w:t>二、摸清案件底数，建立台账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5"/>
        <w:textAlignment w:val="auto"/>
        <w:rPr>
          <w:rFonts w:ascii="宋体" w:hAnsi="宋体" w:eastAsia="宋体" w:cs="宋体"/>
          <w:color w:val="23272B"/>
          <w:sz w:val="24"/>
          <w:szCs w:val="24"/>
        </w:rPr>
      </w:pP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全院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自排查活动开展以来，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立即组织对金融案件开展一次拉网式排查，横向到边、纵向到底，不漏一案。排查的重点是当事人是否存在违法发放贷款、职务侵占、贷款诈骗、高利转贷、恶意逃废债务等违法犯罪行为、金融机构是否存在员工违规、审核不严等内部管理问题、案件本身是否会演变为群体性事件。各部门认真排查梳理涉农信社不良贷款清收案件，切实摸清底数并建立详细案件台帐。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一是每周定期通报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已立案未审结案件底数，制定结案计划，明确结案时间；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textAlignment w:val="auto"/>
        <w:rPr>
          <w:rFonts w:hint="eastAsia" w:ascii="仿宋_GB2312" w:hAnsi="宋体" w:eastAsia="仿宋_GB2312" w:cs="宋体"/>
          <w:color w:val="23272B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二是每周定期通报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已进入执行程序未执结案件底数，包括对终本案件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对排查出的重点案件、重点人员建立台账，完善相关信息，并按照危险程度确定风险等级。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其中排查出风险等级较高的案件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val="en-US" w:eastAsia="zh-CN"/>
        </w:rPr>
        <w:t>5件，目前已全部审结，未发生信访、舆论等其他不良影响。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5"/>
        <w:textAlignment w:val="auto"/>
        <w:rPr>
          <w:rFonts w:hint="eastAsia" w:ascii="黑体" w:hAnsi="黑体" w:eastAsia="黑体" w:cs="黑体"/>
          <w:color w:val="23272B"/>
          <w:sz w:val="32"/>
          <w:szCs w:val="32"/>
        </w:rPr>
      </w:pPr>
      <w:r>
        <w:rPr>
          <w:rFonts w:hint="eastAsia" w:ascii="黑体" w:hAnsi="黑体" w:eastAsia="黑体" w:cs="黑体"/>
          <w:color w:val="23272B"/>
          <w:sz w:val="32"/>
          <w:szCs w:val="32"/>
        </w:rPr>
        <w:t>夯实风险隐患化解责任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全院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对排查出的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val="en-US" w:eastAsia="zh-CN"/>
        </w:rPr>
        <w:t>12起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重点案件、重点人员，逐案逐人明确包案领导和责任人，逐案逐人制定化解方案。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班子成员均分包有重点案件。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对涉嫌存在违法发放贷款、职务侵占、贷款诈骗、高利转贷、恶意逃废债务等违法犯罪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案件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val="en-US" w:eastAsia="zh-CN"/>
        </w:rPr>
        <w:t>7件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，及时研究，及时向公安等部门移交；对金融机构存在员工违规、审核不严等内部管理问题的，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向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向金融机构及其监管部门发送司法建议，帮助规范信贷管理，防范金融风险；对有可能演变为群体性事件的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val="en-US" w:eastAsia="zh-CN"/>
        </w:rPr>
        <w:t>2期案件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，及时与上级部门、当地党委政府及信访部门沟通、形成工作合力，做好稳控化解工作。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针对金融领域的重点、难点、热点问题，坚持个案分析与类案研究相结合，及时发布具有指导意义的司法建议，为金融业健康发展提供有力的法律支持。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石龙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法院共向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发送司法建议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份，其中涉及企业股权转让纠纷、金融借款合同纠纷、信用卡纠纷等案件20份。针对当前经济发展形势下如何加强金融机构内部管理、规范经营行为、完善贷款担保等方面提出具体建议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向金融机构及其监管部门发送司法建议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val="en-US" w:eastAsia="zh-CN"/>
        </w:rPr>
        <w:t>3份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，帮助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其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规范信贷管理，防范金融风险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积极参与金融风险防范工作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23272B"/>
          <w:sz w:val="32"/>
          <w:szCs w:val="32"/>
        </w:rPr>
        <w:t>全院按照信访</w:t>
      </w:r>
      <w:r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  <w:t>要求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接待金融案件当事人。通过电话、网络、信件接到的信息，及时跟进，主动与反映人联系。对反映人反映的案件有关问题，能够现场解决的，立即予以答复；不能现场解决的，指定有关部门跟踪督办、限期办结，防止问题长期悬而不决、小问题拖成大问题。对反映人反映的金融领域存在的有关问题，及时向金融机构及其监管部门反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石龙法</w:t>
      </w:r>
      <w:r>
        <w:rPr>
          <w:rFonts w:hint="eastAsia" w:ascii="仿宋_GB2312" w:hAnsi="仿宋_GB2312" w:eastAsia="仿宋_GB2312" w:cs="仿宋_GB2312"/>
          <w:sz w:val="32"/>
          <w:szCs w:val="32"/>
        </w:rPr>
        <w:t>院积极主动参与地方经济社会风险防范和化解工作，及时与金融监管部门沟通，联合相关部门共同做好企业融资、担保等方面的法律服务工作，通过各种方式对企业加强法制宣传和风险警示教育。开展了“送法进企业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根据该活动方案，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石龙法</w:t>
      </w:r>
      <w:r>
        <w:rPr>
          <w:rFonts w:hint="eastAsia" w:ascii="仿宋_GB2312" w:hAnsi="仿宋_GB2312" w:eastAsia="仿宋_GB2312" w:cs="仿宋_GB2312"/>
          <w:sz w:val="32"/>
          <w:szCs w:val="32"/>
        </w:rPr>
        <w:t>院干警深入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32家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企业进行调研、走访、座谈、宣传，及时了解企业生产经营情况和在法律方面的需求，有针对性地开展法制宣传和风险警示教育活动，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先后咨询法律问题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16个，提供法律建议7个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2022年《石龙区法院反映房贷断供、银行贷款加速到期问题需引起重视》被省高院工作信息第77期采用。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通过此项活动的开展，为营造良好的法治环境做出积极努力。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下一步，石龙法院将切实提高政治站位，压实工作责任，要做到领导到位、人员到位、职责到位，把此项任务作为当前重点工作来做，安排专人、利用司法数据大平台等风险监测系统，切实做好隐患排查各项工作，</w:t>
      </w:r>
      <w:r>
        <w:rPr>
          <w:rFonts w:hint="eastAsia" w:ascii="仿宋_GB2312" w:hAnsi="宋体" w:eastAsia="仿宋_GB2312" w:cs="宋体"/>
          <w:color w:val="23272B"/>
          <w:sz w:val="32"/>
          <w:szCs w:val="32"/>
        </w:rPr>
        <w:t>有效防范化解金融风险，优化金融生态环境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5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2023年6月30日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23272B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textAlignment w:val="auto"/>
        <w:rPr>
          <w:rFonts w:hint="default" w:ascii="仿宋_GB2312" w:hAnsi="宋体" w:eastAsia="仿宋_GB2312" w:cs="宋体"/>
          <w:color w:val="23272B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5"/>
        <w:textAlignment w:val="auto"/>
        <w:rPr>
          <w:rFonts w:hint="eastAsia" w:ascii="仿宋_GB2312" w:hAnsi="宋体" w:eastAsia="仿宋_GB2312" w:cs="宋体"/>
          <w:color w:val="23272B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23272B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0FC83"/>
    <w:multiLevelType w:val="singleLevel"/>
    <w:tmpl w:val="2390FC8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MzQ3MDcyZTE4NDgxMTk2NDMwZjc2ZTRlMWU3NDUifQ=="/>
  </w:docVars>
  <w:rsids>
    <w:rsidRoot w:val="00000000"/>
    <w:rsid w:val="41740C4C"/>
    <w:rsid w:val="790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1867</Words>
  <Characters>1880</Characters>
  <Lines>0</Lines>
  <Paragraphs>0</Paragraphs>
  <TotalTime>4</TotalTime>
  <ScaleCrop>false</ScaleCrop>
  <LinksUpToDate>false</LinksUpToDate>
  <CharactersWithSpaces>1880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2023-07-22T08:53:00Z</dcterms:created>
  <dc:creator>Administrator</dc:creator>
  <cp:lastModifiedBy>Administrator</cp:lastModifiedBy>
  <cp:lastPrinted>2023-07-22T09:28:00Z</cp:lastPrinted>
  <dcterms:modified xsi:type="dcterms:W3CDTF">2023-07-22T10:05:36Z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D7BB8C766183452AAC4F71BE7A6B8F16_12</vt:lpwstr>
  </property>
</Properties>
</file>